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/>
        <w:ind w:left="120"/>
        <w:rPr>
          <w:lang w:val="ru-RU"/>
        </w:rPr>
      </w:pPr>
      <w:bookmarkStart w:id="0" w:name="block-15483049"/>
    </w:p>
    <w:p>
      <w:pPr>
        <w:spacing w:after="160" w:line="259" w:lineRule="auto"/>
        <w:rPr>
          <w:rFonts w:ascii="Times New Roman" w:hAnsi="Times New Roman" w:eastAsia="Calibri" w:cs="Times New Roman"/>
          <w:lang w:val="ru-RU"/>
        </w:rPr>
      </w:pPr>
      <w:r>
        <w:drawing>
          <wp:inline distT="0" distB="0" distL="114300" distR="114300">
            <wp:extent cx="6175375" cy="8491220"/>
            <wp:effectExtent l="0" t="0" r="15875" b="508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849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>
      <w:pPr>
        <w:spacing w:after="0" w:line="264" w:lineRule="auto"/>
        <w:ind w:left="120"/>
        <w:jc w:val="both"/>
        <w:rPr>
          <w:lang w:val="ru-RU"/>
        </w:rPr>
      </w:pPr>
      <w:bookmarkStart w:id="10" w:name="_GoBack"/>
      <w:bookmarkEnd w:id="10"/>
      <w:bookmarkStart w:id="1" w:name="block-15483050"/>
      <w:r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Учебный курс «Вероятность и статистика» углублённого уровня является продолжением и развитием одноименного учебного курса углублённого уровня на уровне среднего общего образования.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событий, величин и процессов. При изучении курса обогащаются представления обучающихся о методах исследования изменчивого мира, развивается понимание значимости и общности математических методов познания как неотъемлемой части современного естественно-научного мировоззрения.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Содержание учебного курса направлено на закрепление знаний, полученных при изучении курса на уровне основного общего образования, и на развитие представлений о случайных величинах и взаимосвязях между ними на важных примерах, сюжеты которых почерпнуты из окружающего мира. В результате у обучающихся должно сформироваться представление о наиболее употребительных и общих математических моделях, используемых для описания антропометрических и демографических величин, погрешностей в различные рода измерениях, длительности безотказной работы технических устройств, характеристик массовых явлений и процессов в обществе. Учебный курс является базой для освоения вероятностно-статистических методов, необходимых специалистам не только инженерных специальностей, но также социальных и психологических, поскольку современные общественные науки в значительной мере используют аппарат анализа больших данных. Центральную часть учебного курса занимает обсуждение закона больших чисел – фундаментального закона природы, имеющего математическую формализацию.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соответствии с указанными целями в структуре учебного курса «Вероятность и статистика» на углублённом уровне выделены основные содержательные линии: «Случайные события и вероятности» и «Случайные величины и закон больших чисел».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Помимо основных линий в учебный курс включены элементы теории графов и теории множеств, необходимые для полноценного освоения материала данного учебного курса и смежных математических учебных курсов.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 линии «Случайные события и вероятности» служит основой для формирования представлений о распределении вероятностей между значениями случайных величин. Важную часть в этой содержательной линии занимает изучение геометрического и биномиального распределений и знакомство с их непрерывными аналогами – показательным и нормальным распределениями.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Темы, связанные с непрерывными случайными величинами и распределениями, акцентируют внимание обучающихся на описании и изучении случайных явлений с помощью непрерывных функций. Основное внимание уделяется показательному и нормальному распределениям.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аналога. Эти элементы содержания развивают тему «Диаграммы рассеивания», изученную на уровне основного общего образования, и во многом опираются на сведения из курсов алгебры и геометрии.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Ещё один элемент содержания, который предлагается на ознакомительном уровне – последовательность случайных независимых событий, наступающих в единицу времени. Ознакомление с распределением вероятностей количества таких событий носит развивающий характер и является актуальным для будущих абитуриентов, поступающих на учебные специальности, связанные с общественными науками, психологией и управлением.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b36699e0-a848-4276-9295-9131bc7b4ab1"/>
      <w:r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«Вероятность и статистика» на углубленном уровне отводится 68 часов: в 10 классе – 34 часа (1 час в неделю), в 11 классе – 34 часа (1 час в неделю).</w:t>
      </w:r>
      <w:bookmarkEnd w:id="2"/>
      <w:r>
        <w:rPr>
          <w:rFonts w:ascii="Times New Roman" w:hAnsi="Times New Roman"/>
          <w:color w:val="000000"/>
          <w:sz w:val="28"/>
          <w:lang w:val="ru-RU"/>
        </w:rPr>
        <w:t>‌‌</w:t>
      </w:r>
    </w:p>
    <w:p>
      <w:pPr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</w:p>
    <w:bookmarkEnd w:id="1"/>
    <w:p>
      <w:pPr>
        <w:spacing w:after="0" w:line="264" w:lineRule="auto"/>
        <w:ind w:left="120"/>
        <w:jc w:val="both"/>
        <w:rPr>
          <w:lang w:val="ru-RU"/>
        </w:rPr>
      </w:pPr>
      <w:bookmarkStart w:id="3" w:name="block-15483052"/>
      <w:r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Граф, связный граф, пути в графе: циклы и цепи. Степень (валентность) вершины. Графы на плоскости. Деревья.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Случайные эксперименты (опыты) и случайные события. Элементарные события (исходы). Вероятность случайного события. Близость частоты и вероятности событий. Случайные опыты с равновозможными элементарными событиями. 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  <w:lang w:val="ru-RU"/>
        </w:rPr>
        <w:t xml:space="preserve">Операции над событиями: пересечение, объединение, противоположные события. </w:t>
      </w:r>
      <w:r>
        <w:rPr>
          <w:rFonts w:ascii="Times New Roman" w:hAnsi="Times New Roman"/>
          <w:color w:val="000000"/>
          <w:sz w:val="28"/>
        </w:rPr>
        <w:t>Диаграммы Эйлера. Формула сложения вероятностей.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  <w:lang w:val="ru-RU"/>
        </w:rPr>
        <w:t xml:space="preserve">Условная вероятность. Умножение вероятностей. Дерево случайного эксперимента. </w:t>
      </w:r>
      <w:r>
        <w:rPr>
          <w:rFonts w:ascii="Times New Roman" w:hAnsi="Times New Roman"/>
          <w:color w:val="000000"/>
          <w:sz w:val="28"/>
        </w:rPr>
        <w:t>Формула полной вероятности. Формула Байеса. Независимые события.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Бинарный случайный опыт (испытание), успех и неудача. Независимые испытания. Серия независимых испытаний до первого успеха. Перестановки и факториал. Число сочетаний. Треугольник Паскаля. Формула бинома Ньютона.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Серия независимых испытаний Бернулли. Случайный выбор из конечной совокупности.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Случайная величина. Распределение вероятностей. Диаграмма распределения. Операции над случайными величинами. Бинарная случайная величина. Примеры распределений, в том числе геометрическое и биномиальное.</w:t>
      </w: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Совместное распределение двух случайных величин. Независимые случайные величины.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Математическое ожидание случайной величины (распределения). Примеры применения математического ожидания (страхование, лотерея). Математическое ожидание бинарной случайной величины. Математическое ожидание суммы случайных величин. Математическое ожидание геометрического и биномиального распределений.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Дисперсия и стандартное отклонение случайной величины (распределения). Дисперсия бинарной случайной величины. Математическое ожидание произведения и дисперсия суммы независимых случайных величин. Дисперсия и стандартное отклонение биномиального распределения. Дисперсия и стандартное отклонение геометрического распределения.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Неравенство Чебышёва. Теорема Чебышёва. Теорема Бернулли. </w:t>
      </w:r>
      <w:r>
        <w:rPr>
          <w:rFonts w:ascii="Times New Roman" w:hAnsi="Times New Roman"/>
          <w:color w:val="000000"/>
          <w:sz w:val="28"/>
        </w:rPr>
        <w:t xml:space="preserve">Закон больших чисел. </w:t>
      </w:r>
      <w:r>
        <w:rPr>
          <w:rFonts w:ascii="Times New Roman" w:hAnsi="Times New Roman"/>
          <w:color w:val="000000"/>
          <w:sz w:val="28"/>
          <w:lang w:val="ru-RU"/>
        </w:rPr>
        <w:t>Выборочный метод исследований. Выборочные характеристики. Оценивание вероятности события по выборочным данным. Проверка простейших гипотез с помощью изученных распределений.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Непрерывные случайные величины. Примеры. Функция плотности вероятности распределения. Равномерное распределение и его свойства. Задачи, приводящие к показательному распределению. Задачи, приводящие к нормальному распределению. Функция плотности вероятности показательного распределения, функция плотности вероятности нормального распределения. Функция плотности и свойства нормального распределения.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Последовательность одиночных независимых событий. Задачи, приводящие к распределению Пуассона.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Ковариация двух случайных величин. Коэффициент линейной корреляции. Совместные наблюдения двух величин. Выборочный коэффициент корреляции. Различие между линейной связью и причинно-следственной связью. Линейная регрессия, метод наименьших квадратов.</w:t>
      </w:r>
    </w:p>
    <w:p>
      <w:pPr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</w:p>
    <w:bookmarkEnd w:id="3"/>
    <w:p>
      <w:pPr>
        <w:spacing w:after="0" w:line="264" w:lineRule="auto"/>
        <w:ind w:left="120"/>
        <w:jc w:val="both"/>
        <w:rPr>
          <w:lang w:val="ru-RU"/>
        </w:rPr>
      </w:pPr>
      <w:bookmarkStart w:id="4" w:name="block-15483051"/>
      <w:r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УЧЕБНОГО КУРСА «ВЕРОЯТНОСТЬ И СТАТИСТИКА» (УГЛУБЛЕННЫЙ УРОВЕНЬ) НА УРОВНЕ СРЕДНЕГО ОБЩЕГО ОБРАЗОВАНИЯ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сформированность гражданской позиции обучающегося как активного и ответственного члена российского общества, представление о математических основах функционирования различных структур, явлений, процедур гражданского общества (выборы, опросы и другое), умение взаимодействовать с социальными институтами в соответствии с их функциями и назначением;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сформированность российской гражданской идентичности, уважения к прошлому и настоящему российской математики, ценностное отношение к достижениям российских математиков и российской математической школы, использование этих достижений в других науках, технологиях, сферах экономики;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народа, сформированность нравственного сознания, этического поведения, связанного с практическим применением достижений науки и деятельностью учёного, осознание личного вклада в построение устойчивого будущего;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математических закономерностей, объектов, задач, решений, рассуждений, восприимчивость к математическим аспектам различных видов искусства;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сформированность умения применять математические знания в интересах здорового и безопасного образа жизни, ответственное отношение к своему здоровью (здоровое питание, сбалансированный режим занятий и отдыха, регулярная физическая активность), физическое совершенствование при занятиях спортивно-оздоровительной деятельностью;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трудолюбия, интерес к различным сферам профессиональной деятельности, связанным с математикой и её приложениями, умение совершать осознанный выбор будущей профессии и реализовывать собственные жизненные планы, готовность и способность к математическому образованию и самообразованию на протяжении всей жизни, готовность к активному участию в решении практических задач математической направленности;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проблем, ориентация на применение математических знаний для решения задач в области окружающей среды, планирование поступков и оценки их возможных последствий для окружающей среды;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8) ценности научного познания: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науки и общественной практики, понимание математической науки как сферы человеческой деятельности, этапов её развития и значимости для развития цивилизации, овладение языком математики и математической культурой как средством познания мира, готовность осуществлять проектную и исследовательскую деятельность индивидуально и в группе.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контрпримеры, обосновывать собственные суждения и выводы;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самостоятельно сформулированным критериям.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аудитории.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результатов, владеть способами самопроверки, самоконтроля процесса и результата решения математической задачи;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задач,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>
        <w:rPr>
          <w:rFonts w:ascii="Times New Roman" w:hAnsi="Times New Roman"/>
          <w:b/>
          <w:color w:val="000000"/>
          <w:sz w:val="28"/>
          <w:lang w:val="ru-RU"/>
        </w:rPr>
        <w:t>10 класса</w:t>
      </w:r>
      <w:r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граф, плоский граф, связный граф, путь в графе, цепь, цикл, дерево, степень вершины, дерево случайного эксперимента;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случайный эксперимент (опыт), случайное событие, элементарное случайное событие (элементарный исход) случайного опыта, находить вероятности событий в опытах с равновозможными элементарными событиями;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и формулировать события: пересечение, объединение данных событий, событие, противоположное данному, использовать диаграммы Эйлера, координатную прямую для решения задач, пользоваться формулой сложения вероятностей для вероятностей двух и трех случайных событий;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оперировать понятиями: условная вероятность, умножение вероятностей, независимые события, дерево случайного эксперимента, находить вероятности событий с помощью правила умножения, дерева случайного опыта, использовать формулу полной вероятности, формулу Байеса при решении задач, определять независимость событий по формуле и по организации случайного эксперимента;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комбинаторные формулы для перечисления элементов множеств, элементарных событий случайного опыта, решения задач по теории вероятностей;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бинарный случайный опыт (испытание), успех и неудача, независимые испытания, серия испытаний, находить вероятности событий: в серии испытаний до первого успеха, в серии испытаний Бернулли, в опыте, связанном со случайным выбором из конечной совокупности;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случайная величина, распределение вероятностей, диаграмма распределения, бинарная случайная величина, геометрическое, биномиальное распределение.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>
        <w:rPr>
          <w:rFonts w:ascii="Times New Roman" w:hAnsi="Times New Roman"/>
          <w:b/>
          <w:color w:val="000000"/>
          <w:sz w:val="28"/>
          <w:lang w:val="ru-RU"/>
        </w:rPr>
        <w:t>11 класса</w:t>
      </w:r>
      <w:r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оперировать понятиями: совместное распределение двух случайных величин, использовать таблицу совместного распределения двух случайных величин для выделения распределения каждой величины, определения независимости случайных величин;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понятием математического ожидания случайной величины (распределения), применять свойства математического ожидания при решении задач, вычислять математическое ожидание биномиального и геометрического распределений;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дисперсия, стандартное отклонение случайной величины, применять свойства дисперсии случайной величины (распределения) при решении задач, вычислять дисперсию и стандартное отклонение геометрического и биномиального распределений;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вычислять выборочные характеристики по данной выборке и оценивать характеристики генеральной совокупности данных по выборочным характеристикам. Оценивать вероятности событий и проверять простейшие статистические гипотезы, пользуясь изученными распределениями.</w:t>
      </w:r>
    </w:p>
    <w:p>
      <w:pPr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</w:p>
    <w:bookmarkEnd w:id="4"/>
    <w:p>
      <w:pPr>
        <w:spacing w:after="0"/>
        <w:ind w:left="120"/>
      </w:pPr>
      <w:bookmarkStart w:id="5" w:name="block-15483055"/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1"/>
        <w:gridCol w:w="4640"/>
        <w:gridCol w:w="1065"/>
        <w:gridCol w:w="1351"/>
        <w:gridCol w:w="1463"/>
        <w:gridCol w:w="1810"/>
        <w:gridCol w:w="201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289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81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Деятельность учителя с учетом рабочей программы воспитания </w:t>
            </w:r>
          </w:p>
          <w:p>
            <w:pPr>
              <w:spacing w:after="0"/>
              <w:ind w:left="135"/>
              <w:rPr>
                <w:lang w:val="ru-RU"/>
              </w:rPr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rPr>
                <w:lang w:val="ru-RU"/>
              </w:rPr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rPr>
                <w:lang w:val="ru-RU"/>
              </w:rPr>
            </w:pPr>
          </w:p>
        </w:tc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spacing w:after="0"/>
              <w:ind w:left="135"/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2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теории графов</w:t>
            </w:r>
          </w:p>
        </w:tc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ЦОР, 100 егэ, Распечатай и реши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привлекать внимание обучающихся к обсуждаемой на уроке информации, активизации познавательной деятельности обучающихся;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</w:tblPrEx>
        <w:trPr>
          <w:trHeight w:val="144" w:hRule="atLeast"/>
          <w:tblCellSpacing w:w="0" w:type="dxa"/>
        </w:trPr>
        <w:tc>
          <w:tcPr>
            <w:tcW w:w="2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опыты, случайные события и вероятности событий</w:t>
            </w:r>
          </w:p>
        </w:tc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ЦОР, 100 егэ, Распечатай и реши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Реализовывать воспитательные возможности в различных видах деятельности обучающихся со словесной (знаковой) основой: выводы и доказательство формул, анализ формул, решение текстовых количественных и качественных задач, выполнение заданий по разграничению понятий.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2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 над множествами и событиями. Сложение и умножение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ЦОР, 100 егэ, Распечатай и реши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инициировать и поддерживать исследовательскую деятельность обучающихся в рамках реализации ими индивидуальных и групповых исследовательских проектов, что даст обучающимся возможность приобрести навык уважительного отношения к чужим идеям, оформленным в работах других исследователей,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2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ЦОР, 100 егэ, Распечатай и реши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Реализовывать воспитательные возможности в различных видах деятельности обучающихся со словесной (знаковой) основой: выводы и доказательство формул, анализ формул, решение текстовых количественных и качественных задач, выполнение заданий по разграничению понятий.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</w:tblPrEx>
        <w:trPr>
          <w:trHeight w:val="144" w:hRule="atLeast"/>
          <w:tblCellSpacing w:w="0" w:type="dxa"/>
        </w:trPr>
        <w:tc>
          <w:tcPr>
            <w:tcW w:w="2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Серии последовательных испытаний. Испытания Бернулли. Случайный выбор из конечной совокупности</w:t>
            </w:r>
          </w:p>
        </w:tc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ЦОР, 100 егэ, Распечатай и реши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привлекать внимание обучающихся к обсуждаемой на уроке информации, активизации познавательной деятельности обучающихся;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2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ЦОР, 100 егэ, Распечатай и реши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привлекать внимание обучающихся к обсуждаемой на уроке информации, активизации познавательной деятельности обучающихся;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/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5"/>
        <w:gridCol w:w="4576"/>
        <w:gridCol w:w="1095"/>
        <w:gridCol w:w="1373"/>
        <w:gridCol w:w="1483"/>
        <w:gridCol w:w="1862"/>
        <w:gridCol w:w="2025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</w:tblPrEx>
        <w:trPr>
          <w:trHeight w:val="144" w:hRule="atLeast"/>
          <w:tblCellSpacing w:w="0" w:type="dxa"/>
        </w:trPr>
        <w:tc>
          <w:tcPr>
            <w:tcW w:w="30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spacing w:after="0"/>
              <w:ind w:left="135"/>
            </w:pPr>
          </w:p>
        </w:tc>
        <w:tc>
          <w:tcPr>
            <w:tcW w:w="2787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862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spacing w:after="0"/>
              <w:ind w:left="135"/>
            </w:pPr>
          </w:p>
        </w:tc>
        <w:tc>
          <w:tcPr>
            <w:tcW w:w="2025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Деятельность учителя с учетом рабочей программы воспитания </w:t>
            </w:r>
          </w:p>
          <w:p>
            <w:pPr>
              <w:spacing w:after="0"/>
              <w:ind w:left="135"/>
              <w:rPr>
                <w:lang w:val="ru-RU"/>
              </w:rPr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rPr>
                <w:lang w:val="ru-RU"/>
              </w:rPr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rPr>
                <w:lang w:val="ru-RU"/>
              </w:rPr>
            </w:pP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spacing w:after="0"/>
              <w:ind w:left="135"/>
            </w:pP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8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 больших чисел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6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ЦОР, 100 егэ, Распечатай и реши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инициировать и поддерживать исследовательскую деятельность обучающихся в рамках реализации ими индивидуальных и групповых исследовательских проектов, что даст обучающимся возможность приобрести навык уважительного отношения к чужим идеям, оформленным в работах других исследователей,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8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математической статистики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ЦОР, 100 егэ, Распечатай и реши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Реализовывать воспитательные возможности в различных видах деятельности обучающихся со словесной (знаковой) основой: выводы и доказательство формул, анализ формул, решение текстовых количественных и качественных задач, выполнение заданий по разграничению понятий.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8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Непрерывные случайные величины (распределения), показательное и нормальное распределения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ЦОР, 100 егэ, Распечатай и реши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реализовывать воспитательные возможности в различных видах деятельности обучающихся со словесной (знаковой) основой: самостоятельная работа с учебником, работа с научно-популярной литературой, отбор и сравнение материала по нескольким источникам;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8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Распределение Пуассона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6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ЦОР, 100 егэ, Распечатай и реши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реализовывать воспитательные возможности в различных видах деятельности обучающихся со словесной (знаковой) основой: самостоятельная работа с учебником, работа с научно-популярной литературой, отбор и сравнение материала по нескольким источникам;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8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между случайными величинами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ЦОР, 100 егэ, Распечатай и реши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Реализовывать воспитательные возможности в различных видах деятельности обучающихся со словесной (знаковой) основой: выводы и доказательство формул, анализ формул, решение текстовых количественных и качественных задач, выполнение заданий по разграничению понятий.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8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ЦОР, 100 егэ, Распечатай и реши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привлекать внимание обучающихся к обсуждаемой на уроке информации, активизации познавательной деятельности обучающихся;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/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bookmarkEnd w:id="5"/>
    <w:p>
      <w:pPr>
        <w:spacing w:after="0"/>
        <w:ind w:left="120"/>
      </w:pPr>
      <w:bookmarkStart w:id="6" w:name="block-15483054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5423"/>
        <w:gridCol w:w="3212"/>
        <w:gridCol w:w="2940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spacing w:after="0"/>
              <w:ind w:left="135"/>
            </w:pPr>
          </w:p>
        </w:tc>
        <w:tc>
          <w:tcPr>
            <w:tcW w:w="5423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spacing w:after="0"/>
              <w:ind w:left="135"/>
            </w:pP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Граф, связный граф, представление задачи с помощью графа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(валентность) вершины. Путь в графе. </w:t>
            </w:r>
            <w:r>
              <w:rPr>
                <w:rFonts w:ascii="Times New Roman" w:hAnsi="Times New Roman"/>
                <w:color w:val="000000"/>
                <w:sz w:val="24"/>
              </w:rPr>
              <w:t>Цепи и циклы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Графы на плоскости. Дерево случайного эксперимента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Случайные эксперименты (опыты) и случайные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Элементарные события (исходы)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случайного события. Вероятности событий в опытах с равновозможными элементарными событиями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случайного события. Вероятности событий в опытах с равновозможными элементарными событиями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Пересечение, объединение множеств и событий, противоположные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Формула сложения вероятностей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Умножение вероятностей. Формула условной вероятности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Умножение вероятностей. Формула условной вероятности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полной вероятности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Байеса. Независимые события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Комбинаторное правило умножения. Перестановки и факториал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сочетаний. Треугольник Паскаля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бинома Ньютона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№1: "Графы, вероятности, множества, комбинаторика"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Бинарный случайный опыт (испытание), успех и неудача. Независимые испытания. Серия независимых испытаний до первого успеха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Серия независимых испытаний до первого успеха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Серия независимых испытаний Бернулли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Случайный выбор из конечной совокупности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величина. Распределение вероятностей. Диаграмма распределения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 над случайными величинами. Примеры распределений. </w:t>
            </w:r>
            <w:r>
              <w:rPr>
                <w:rFonts w:ascii="Times New Roman" w:hAnsi="Times New Roman"/>
                <w:color w:val="000000"/>
                <w:sz w:val="24"/>
              </w:rPr>
              <w:t>Бинарная случайная величина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Геометрическое распределение. Биномиальное распределение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случайной величины. Совместное распределение двух случайных величин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Независимые случайные величины. Свойства математического ожидания. </w:t>
            </w:r>
            <w:r>
              <w:rPr>
                <w:rFonts w:ascii="Times New Roman" w:hAnsi="Times New Roman"/>
                <w:color w:val="000000"/>
                <w:sz w:val="24"/>
              </w:rPr>
              <w:t>Математическое ожидание бинарной случайной величины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геометрического и биномиального распределений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и стандартное отклонение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Дисперсия бинарной случайной величины. Свойства дисперсии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произведения и дисперсия суммы независимых случайных величин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Дисперсия биномиального распределения. Практическая работа с использованием электронных таблиц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№2: "Испытания Бернулли. Случайные величины и распределения"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5423"/>
        <w:gridCol w:w="3212"/>
        <w:gridCol w:w="2940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spacing w:after="0"/>
              <w:ind w:left="135"/>
            </w:pPr>
          </w:p>
        </w:tc>
        <w:tc>
          <w:tcPr>
            <w:tcW w:w="5423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spacing w:after="0"/>
              <w:ind w:left="135"/>
            </w:pP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Неравенство Чебышева. Теорема Чебышева. Теорема Бернулли. </w:t>
            </w:r>
            <w:r>
              <w:rPr>
                <w:rFonts w:ascii="Times New Roman" w:hAnsi="Times New Roman"/>
                <w:color w:val="000000"/>
                <w:sz w:val="24"/>
              </w:rPr>
              <w:t>Закон больших чисел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Неравенство Чебышева. Теорема Чебышева. Теорема Бернулли. </w:t>
            </w:r>
            <w:r>
              <w:rPr>
                <w:rFonts w:ascii="Times New Roman" w:hAnsi="Times New Roman"/>
                <w:color w:val="000000"/>
                <w:sz w:val="24"/>
              </w:rPr>
              <w:t>Закон больших чисел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Неравенство Чебышева. Теорема Чебышева. Теорема Бернулли. </w:t>
            </w:r>
            <w:r>
              <w:rPr>
                <w:rFonts w:ascii="Times New Roman" w:hAnsi="Times New Roman"/>
                <w:color w:val="000000"/>
                <w:sz w:val="24"/>
              </w:rPr>
              <w:t>Закон больших чисел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Выборочный метод исследований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Генеральная совокупность и случайная выборка. Знакомство с выборочными характеристиками. Оценка среднего и дисперсии генеральной совокупности с помощью выборочных характеристик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Генеральная совокупность и случайная выборка. Знакомство с выборочными характеристиками. Оценка среднего и дисперсии генеральной совокупности с помощью выборочных характеристик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Оценивание вероятностей событий по выборке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Статистическая гипотеза. Проверка простейших гипотез с помощью свойств изученных распределений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Статистическая гипотеза. Проверка простейших гипотез с помощью свойств изученных распределений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Примеры непрерывных случайных величин. Функция плотности вероятности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Равномерное распределение. Примеры задач, приводящих к показательному и к нормальному распределениям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Функция плотности вероятности показательного распределения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Функция плотности вероятности нормального распределения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одиночных независимых событий. Пример задачи, приводящей к распределению </w:t>
            </w:r>
            <w:r>
              <w:rPr>
                <w:rFonts w:ascii="Times New Roman" w:hAnsi="Times New Roman"/>
                <w:color w:val="000000"/>
                <w:sz w:val="24"/>
              </w:rPr>
              <w:t>Пуассона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Ковариация двух случайных величин. Коэффициент корреляции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Совместные наблюдения двух величин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Выборочный коэффициент корреляции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Различие между линейной связью и причинно-следственной связью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регрессия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с помощью таблиц и диаграмм, описательная статистика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Опыты с равновозможными элементарными событиями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вероятностей событий с применением формул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вероятностей событий с применением графических методов: координатная прямая, дерево, диаграмма Эйлера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ожидание случайной величины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ожидание случайной величины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"Вероятность и статистика"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вероятностей событий с применением формул и графических методов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вероятностей событий с применением формул и графических методов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величины и распределения. Математическое ожидание случайной величины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bookmarkEnd w:id="6"/>
    <w:p>
      <w:pPr>
        <w:spacing w:after="0"/>
        <w:ind w:left="120"/>
      </w:pPr>
      <w:bookmarkStart w:id="7" w:name="block-15483053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​‌• Математика. Алгебра и начала математического анализа(углубленный уровень), 10 класс/ Мерзляк А.Г., Номировский Д.А., Поляков В.М.; под редакцией Подольского </w:t>
      </w:r>
      <w:r>
        <w:rPr>
          <w:rFonts w:ascii="Times New Roman" w:hAnsi="Times New Roman"/>
          <w:color w:val="000000"/>
          <w:sz w:val="28"/>
        </w:rPr>
        <w:t>B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</w:t>
      </w:r>
      <w:r>
        <w:rPr>
          <w:rFonts w:ascii="Times New Roman" w:hAnsi="Times New Roman"/>
          <w:color w:val="000000"/>
          <w:sz w:val="28"/>
          <w:lang w:val="ru-RU"/>
        </w:rPr>
        <w:t>., Общество с ограниченной ответственностью Издательский центр «ВЕНТАНА-ГРАФ»; Акционерное общество «Издательство «Просвещение»</w:t>
      </w:r>
      <w:r>
        <w:rPr>
          <w:sz w:val="28"/>
          <w:lang w:val="ru-RU"/>
        </w:rPr>
        <w:br w:type="textWrapping"/>
      </w:r>
      <w:bookmarkStart w:id="8" w:name="8b6582c9-5be5-4f84-b266-4924bccdc51b"/>
      <w:r>
        <w:rPr>
          <w:rFonts w:ascii="Times New Roman" w:hAnsi="Times New Roman"/>
          <w:color w:val="000000"/>
          <w:sz w:val="28"/>
          <w:lang w:val="ru-RU"/>
        </w:rPr>
        <w:t xml:space="preserve"> • Математика. Алгебра и начала математического анализа( углубленный уровень), 11 класс/ Мерзляк А.Г., Номировский Д.А., Поляков В.М.; под редакцией Подольского В.Е., Общество с ограниченной ответственностью Издательский центр «ВЕНТАНА-ГРАФ»; Акционерное общество «Издательство «Просвещение»</w:t>
      </w:r>
      <w:bookmarkEnd w:id="8"/>
      <w:r>
        <w:rPr>
          <w:rFonts w:ascii="Times New Roman" w:hAnsi="Times New Roman"/>
          <w:color w:val="000000"/>
          <w:sz w:val="28"/>
          <w:lang w:val="ru-RU"/>
        </w:rPr>
        <w:t>‌​</w:t>
      </w:r>
    </w:p>
    <w:p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​‌‌​</w:t>
      </w:r>
      <w:r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УЧИТЕЛЯ\</w:t>
      </w:r>
    </w:p>
    <w:p>
      <w:pPr>
        <w:shd w:val="clear" w:color="auto" w:fill="FFFFFF"/>
        <w:spacing w:after="0" w:line="240" w:lineRule="auto"/>
        <w:outlineLvl w:val="0"/>
        <w:rPr>
          <w:rFonts w:ascii="Times New Roman" w:hAnsi="Times New Roman" w:eastAsia="Times New Roman" w:cs="Times New Roman"/>
          <w:bCs/>
          <w:color w:val="282828"/>
          <w:kern w:val="36"/>
          <w:sz w:val="28"/>
          <w:szCs w:val="28"/>
          <w:lang w:val="ru-RU" w:eastAsia="ru-RU"/>
        </w:rPr>
      </w:pPr>
      <w:r>
        <w:rPr>
          <w:rFonts w:ascii="Times New Roman" w:hAnsi="Times New Roman" w:eastAsia="Times New Roman" w:cs="Times New Roman"/>
          <w:bCs/>
          <w:color w:val="282828"/>
          <w:kern w:val="36"/>
          <w:sz w:val="28"/>
          <w:szCs w:val="28"/>
          <w:lang w:val="ru-RU" w:eastAsia="ru-RU"/>
        </w:rPr>
        <w:t>Алгебра и начала математического анализа. 10 класс. Углубленный уровень. Методическое пособие - Буцко Е.В., Мерзляк А.Г. и др.</w:t>
      </w:r>
    </w:p>
    <w:p>
      <w:pPr>
        <w:spacing w:after="0" w:line="480" w:lineRule="auto"/>
        <w:ind w:left="12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>
      <w:pPr>
        <w:shd w:val="clear" w:color="auto" w:fill="FFFFFF"/>
        <w:spacing w:after="0" w:line="240" w:lineRule="auto"/>
        <w:outlineLvl w:val="0"/>
        <w:rPr>
          <w:rFonts w:ascii="Times New Roman" w:hAnsi="Times New Roman" w:eastAsia="Times New Roman" w:cs="Times New Roman"/>
          <w:bCs/>
          <w:color w:val="282828"/>
          <w:kern w:val="36"/>
          <w:sz w:val="28"/>
          <w:szCs w:val="28"/>
          <w:lang w:val="ru-RU" w:eastAsia="ru-RU"/>
        </w:rPr>
      </w:pPr>
      <w:r>
        <w:rPr>
          <w:rFonts w:ascii="Times New Roman" w:hAnsi="Times New Roman" w:eastAsia="Times New Roman" w:cs="Times New Roman"/>
          <w:bCs/>
          <w:color w:val="282828"/>
          <w:kern w:val="36"/>
          <w:sz w:val="28"/>
          <w:szCs w:val="28"/>
          <w:lang w:val="ru-RU" w:eastAsia="ru-RU"/>
        </w:rPr>
        <w:t>Алгебра и начала математического анализа. 11 класс. Углубленный уровень. Методическое пособие - Буцко Е.В., Мерзляк А.Г. и др.</w:t>
      </w:r>
    </w:p>
    <w:p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​‌‌​‌‌​</w:t>
      </w:r>
    </w:p>
    <w:p>
      <w:pPr>
        <w:spacing w:after="0"/>
        <w:ind w:left="120"/>
        <w:rPr>
          <w:lang w:val="ru-RU"/>
        </w:rPr>
      </w:pPr>
    </w:p>
    <w:p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</w:t>
      </w:r>
      <w:r>
        <w:rPr>
          <w:rFonts w:ascii="Times New Roman" w:hAnsi="Times New Roman"/>
          <w:color w:val="333333"/>
          <w:sz w:val="28"/>
          <w:lang w:val="ru-RU"/>
        </w:rPr>
        <w:t>​‌</w:t>
      </w:r>
      <w:bookmarkStart w:id="9" w:name="650223d2-78a3-48ed-bf60-01d1d63fcead"/>
      <w:r>
        <w:rPr>
          <w:rFonts w:ascii="Times New Roman" w:hAnsi="Times New Roman"/>
          <w:color w:val="000000"/>
          <w:sz w:val="28"/>
          <w:lang w:val="ru-RU"/>
        </w:rPr>
        <w:t>100 егэ, Распечатай и реши, Инфоурок, Учи.ру, платформа Скай смарт, Библиотека ЦОР</w:t>
      </w:r>
      <w:bookmarkEnd w:id="9"/>
      <w:r>
        <w:rPr>
          <w:rFonts w:ascii="Times New Roman" w:hAnsi="Times New Roman"/>
          <w:color w:val="333333"/>
          <w:sz w:val="28"/>
          <w:lang w:val="ru-RU"/>
        </w:rPr>
        <w:t>‌</w:t>
      </w:r>
      <w:r>
        <w:rPr>
          <w:rFonts w:ascii="Times New Roman" w:hAnsi="Times New Roman"/>
          <w:color w:val="000000"/>
          <w:sz w:val="28"/>
          <w:lang w:val="ru-RU"/>
        </w:rPr>
        <w:t>​</w:t>
      </w:r>
    </w:p>
    <w:p>
      <w:pPr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</w:p>
    <w:bookmarkEnd w:id="7"/>
    <w:p>
      <w:pPr>
        <w:rPr>
          <w:lang w:val="ru-RU"/>
        </w:rPr>
      </w:pPr>
    </w:p>
    <w:sectPr>
      <w:pgSz w:w="11907" w:h="16839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libri Light">
    <w:panose1 w:val="020F0302020204030204"/>
    <w:charset w:val="CC"/>
    <w:family w:val="swiss"/>
    <w:pitch w:val="default"/>
    <w:sig w:usb0="E4002EFF" w:usb1="C0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BCA"/>
    <w:rsid w:val="000F0C6E"/>
    <w:rsid w:val="009615F1"/>
    <w:rsid w:val="00C56BCA"/>
    <w:rsid w:val="53AE6EA2"/>
    <w:rsid w:val="6A675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unhideWhenUsed="0" w:uiPriority="99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2E75B6" w:themeColor="accent1" w:themeShade="BF"/>
      <w:sz w:val="28"/>
      <w:szCs w:val="28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5B9BD5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5B9BD5" w:themeColor="accent1"/>
      <w14:textFill>
        <w14:solidFill>
          <w14:schemeClr w14:val="accent1"/>
        </w14:solidFill>
      </w14:textFill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5B9BD5" w:themeColor="accent1"/>
      <w14:textFill>
        <w14:solidFill>
          <w14:schemeClr w14:val="accent1"/>
        </w14:solidFill>
      </w14:textFill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6"/>
    <w:qFormat/>
    <w:uiPriority w:val="20"/>
    <w:rPr>
      <w:i/>
      <w:iCs/>
    </w:rPr>
  </w:style>
  <w:style w:type="character" w:styleId="9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0">
    <w:name w:val="Normal Indent"/>
    <w:basedOn w:val="1"/>
    <w:unhideWhenUsed/>
    <w:uiPriority w:val="99"/>
    <w:pPr>
      <w:ind w:left="720"/>
    </w:pPr>
  </w:style>
  <w:style w:type="paragraph" w:styleId="11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5B9BD5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12">
    <w:name w:val="header"/>
    <w:basedOn w:val="1"/>
    <w:link w:val="16"/>
    <w:unhideWhenUsed/>
    <w:qFormat/>
    <w:uiPriority w:val="99"/>
    <w:pPr>
      <w:tabs>
        <w:tab w:val="center" w:pos="4680"/>
        <w:tab w:val="right" w:pos="9360"/>
      </w:tabs>
    </w:pPr>
  </w:style>
  <w:style w:type="paragraph" w:styleId="13">
    <w:name w:val="Title"/>
    <w:basedOn w:val="1"/>
    <w:next w:val="1"/>
    <w:link w:val="22"/>
    <w:qFormat/>
    <w:uiPriority w:val="10"/>
    <w:pPr>
      <w:pBdr>
        <w:bottom w:val="single" w:color="5B9BD5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333F50" w:themeColor="text2" w:themeShade="BF"/>
      <w:spacing w:val="5"/>
      <w:kern w:val="28"/>
      <w:sz w:val="52"/>
      <w:szCs w:val="52"/>
    </w:rPr>
  </w:style>
  <w:style w:type="paragraph" w:styleId="14">
    <w:name w:val="Subtitle"/>
    <w:basedOn w:val="1"/>
    <w:next w:val="1"/>
    <w:link w:val="21"/>
    <w:qFormat/>
    <w:uiPriority w:val="11"/>
    <w:pPr>
      <w:ind w:left="86"/>
    </w:pPr>
    <w:rPr>
      <w:rFonts w:asciiTheme="majorHAnsi" w:hAnsiTheme="majorHAnsi" w:eastAsiaTheme="majorEastAsia" w:cstheme="majorBidi"/>
      <w:i/>
      <w:iCs/>
      <w:color w:val="5B9BD5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table" w:styleId="15">
    <w:name w:val="Table Grid"/>
    <w:basedOn w:val="7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16">
    <w:name w:val="Верхний колонтитул Знак"/>
    <w:basedOn w:val="6"/>
    <w:link w:val="12"/>
    <w:qFormat/>
    <w:uiPriority w:val="99"/>
  </w:style>
  <w:style w:type="character" w:customStyle="1" w:styleId="17">
    <w:name w:val="Заголовок 1 Знак"/>
    <w:basedOn w:val="6"/>
    <w:link w:val="2"/>
    <w:qFormat/>
    <w:uiPriority w:val="9"/>
    <w:rPr>
      <w:rFonts w:asciiTheme="majorHAnsi" w:hAnsiTheme="majorHAnsi" w:eastAsiaTheme="majorEastAsia" w:cstheme="majorBidi"/>
      <w:b/>
      <w:bCs/>
      <w:color w:val="2E75B6" w:themeColor="accent1" w:themeShade="BF"/>
      <w:sz w:val="28"/>
      <w:szCs w:val="28"/>
    </w:rPr>
  </w:style>
  <w:style w:type="character" w:customStyle="1" w:styleId="18">
    <w:name w:val="Заголовок 2 Знак"/>
    <w:basedOn w:val="6"/>
    <w:link w:val="3"/>
    <w:qFormat/>
    <w:uiPriority w:val="9"/>
    <w:rPr>
      <w:rFonts w:asciiTheme="majorHAnsi" w:hAnsiTheme="majorHAnsi" w:eastAsiaTheme="majorEastAsia" w:cstheme="majorBidi"/>
      <w:b/>
      <w:bCs/>
      <w:color w:val="5B9BD5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19">
    <w:name w:val="Заголовок 3 Знак"/>
    <w:basedOn w:val="6"/>
    <w:link w:val="4"/>
    <w:uiPriority w:val="9"/>
    <w:rPr>
      <w:rFonts w:asciiTheme="majorHAnsi" w:hAnsiTheme="majorHAnsi" w:eastAsiaTheme="majorEastAsia" w:cstheme="majorBidi"/>
      <w:b/>
      <w:bCs/>
      <w:color w:val="5B9BD5" w:themeColor="accent1"/>
      <w14:textFill>
        <w14:solidFill>
          <w14:schemeClr w14:val="accent1"/>
        </w14:solidFill>
      </w14:textFill>
    </w:rPr>
  </w:style>
  <w:style w:type="character" w:customStyle="1" w:styleId="20">
    <w:name w:val="Заголовок 4 Знак"/>
    <w:basedOn w:val="6"/>
    <w:link w:val="5"/>
    <w:qFormat/>
    <w:uiPriority w:val="9"/>
    <w:rPr>
      <w:rFonts w:asciiTheme="majorHAnsi" w:hAnsiTheme="majorHAnsi" w:eastAsiaTheme="majorEastAsia" w:cstheme="majorBidi"/>
      <w:b/>
      <w:bCs/>
      <w:i/>
      <w:iCs/>
      <w:color w:val="5B9BD5" w:themeColor="accent1"/>
      <w14:textFill>
        <w14:solidFill>
          <w14:schemeClr w14:val="accent1"/>
        </w14:solidFill>
      </w14:textFill>
    </w:rPr>
  </w:style>
  <w:style w:type="character" w:customStyle="1" w:styleId="21">
    <w:name w:val="Подзаголовок Знак"/>
    <w:basedOn w:val="6"/>
    <w:link w:val="14"/>
    <w:qFormat/>
    <w:uiPriority w:val="11"/>
    <w:rPr>
      <w:rFonts w:asciiTheme="majorHAnsi" w:hAnsiTheme="majorHAnsi" w:eastAsiaTheme="majorEastAsia" w:cstheme="majorBidi"/>
      <w:i/>
      <w:iCs/>
      <w:color w:val="5B9BD5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character" w:customStyle="1" w:styleId="22">
    <w:name w:val="Заголовок Знак"/>
    <w:basedOn w:val="6"/>
    <w:link w:val="13"/>
    <w:qFormat/>
    <w:uiPriority w:val="10"/>
    <w:rPr>
      <w:rFonts w:asciiTheme="majorHAnsi" w:hAnsiTheme="majorHAnsi" w:eastAsiaTheme="majorEastAsia" w:cstheme="majorBidi"/>
      <w:color w:val="333F50" w:themeColor="text2" w:themeShade="BF"/>
      <w:spacing w:val="5"/>
      <w:kern w:val="28"/>
      <w:sz w:val="52"/>
      <w:szCs w:val="5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28</Pages>
  <Words>4312</Words>
  <Characters>24585</Characters>
  <Lines>204</Lines>
  <Paragraphs>57</Paragraphs>
  <TotalTime>1</TotalTime>
  <ScaleCrop>false</ScaleCrop>
  <LinksUpToDate>false</LinksUpToDate>
  <CharactersWithSpaces>28840</CharactersWithSpaces>
  <Application>WPS Office_12.2.0.13215_F1E327BC-269C-435d-A152-05C5408002CA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2023-09-17T17:07:00Z</dcterms:created>
  <dc:creator>Инна</dc:creator>
  <cp:lastModifiedBy>user</cp:lastModifiedBy>
  <dcterms:modified xsi:type="dcterms:W3CDTF">2023-10-02T12:14:28Z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7A4F5139895D4E879F0082C900037203_12</vt:lpwstr>
  </property>
</Properties>
</file>