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bookmarkStart w:id="0" w:name="_GoBack"/>
      <w:r>
        <w:drawing>
          <wp:inline distT="0" distB="0" distL="114300" distR="114300">
            <wp:extent cx="6403975" cy="8804910"/>
            <wp:effectExtent l="0" t="0" r="15875" b="1524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3975" cy="880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№1»</w:t>
      </w:r>
    </w:p>
    <w:p>
      <w:pPr>
        <w:pStyle w:val="7"/>
        <w:jc w:val="center"/>
        <w:rPr>
          <w:rFonts w:ascii="Times New Roman" w:hAnsi="Times New Roman"/>
          <w:sz w:val="24"/>
          <w:szCs w:val="24"/>
        </w:rPr>
      </w:pPr>
    </w:p>
    <w:p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sz w:val="28"/>
          <w:szCs w:val="28"/>
        </w:rPr>
        <w:t>«Индивидуальный проект»</w:t>
      </w:r>
    </w:p>
    <w:p>
      <w:pPr>
        <w:pStyle w:val="7"/>
        <w:ind w:firstLine="709"/>
        <w:rPr>
          <w:rFonts w:ascii="Times New Roman" w:hAnsi="Times New Roman"/>
          <w:sz w:val="24"/>
          <w:szCs w:val="24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«Индивидуальный проект» для 10 класса разработана в соответствии с пунктом 18.2.2 ФГОС СОО и реализуется 1 год в 10 классе. </w:t>
      </w:r>
    </w:p>
    <w:p>
      <w:pPr>
        <w:pStyle w:val="7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педагогом в соответствии с</w:t>
      </w:r>
    </w:p>
    <w:p>
      <w:pPr>
        <w:pStyle w:val="7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>
      <w:pPr>
        <w:pStyle w:val="7"/>
        <w:spacing w:line="276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является частью ООП СОО, определяющей:</w:t>
      </w:r>
    </w:p>
    <w:p>
      <w:pPr>
        <w:pStyle w:val="7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планируемые результаты освоения учебного предмета (личностные, метапредметные и предметные);</w:t>
      </w:r>
    </w:p>
    <w:p>
      <w:pPr>
        <w:pStyle w:val="7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учебного предмета; </w:t>
      </w: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предмета определяется значимостью формирования у обучающихся различных комбинаций знаний, умений и компетентностей, повышающих его конкурентоспособность. Основным механизмом развития конкурентоспособности обучающихся является образовательный процесс, направленный на формирование ключевых компетентностей: проектной, рефлексивной, технологической, социальной, коммуникативной и информационной.</w:t>
      </w: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«Индивидуальный проект» вводится для целенаправленной теоретической и практической подготовки учащихся 10-х классов к освоению новых технологий. Программа проектной деятельности направлена не только на выработку самостоятельных исследовательских умений, но и способствует развитию творческих способностей и логического мышления, объединяет знания, полученные в ходе учебного процесса на разных предметах, и приобщает к конкретным жизненно важным проблемам.</w:t>
      </w:r>
    </w:p>
    <w:p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Отличительная особенность учебного предмета состоит в том, что программа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 в 5-9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 самостоятельно от начала и до конца. 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разработанного проекта: информационного, творческого, социального, прикладного, инновационного, конструкторского, инженерного, иного.</w:t>
      </w:r>
    </w:p>
    <w:p>
      <w:pPr>
        <w:pStyle w:val="7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>
      <w:pPr>
        <w:pStyle w:val="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1.1. Личностные результаты освоения учебного предмета: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отношений, обучающихся к себе, к своему здоровью, к познанию себя:</w:t>
      </w:r>
    </w:p>
    <w:p>
      <w:pPr>
        <w:pStyle w:val="8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8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>
      <w:pPr>
        <w:pStyle w:val="8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>
      <w:pPr>
        <w:pStyle w:val="8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>
      <w:pPr>
        <w:pStyle w:val="8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>
      <w:pPr>
        <w:pStyle w:val="8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неприятие вредных привычек: курения, употребления алкоголя, наркотиков.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готовность к самообслуживанию, включая обучение и выполнение домашних обязанностей.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>
      <w:pPr>
        <w:pStyle w:val="8"/>
        <w:numPr>
          <w:ilvl w:val="0"/>
          <w:numId w:val="2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Метапредметные результаты освоения учебного предмета </w:t>
      </w:r>
    </w:p>
    <w:p>
      <w:pPr>
        <w:pStyle w:val="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Познавательные универсальные учебные действия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менять и удерживать разные позиции в познавательной деятельности.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Предметные результаты освоения учебного предмета </w:t>
      </w:r>
    </w:p>
    <w:p>
      <w:pPr>
        <w:pStyle w:val="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прохождения курса на уровне среднего общего образования у учащихся будут достигнуты следующие предметные результаты: </w:t>
      </w:r>
    </w:p>
    <w:p>
      <w:pPr>
        <w:pStyle w:val="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Учащийся научится: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давать определения понятиям: проблема, позиция, проект, проектирование, исследование, конструирование, планирование, технология, ресурс проекта, риски проекта, техносфера, гипотеза, предмет и объект исследования, метод исследования, экспертное знание;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раскрывать этапы цикла проекта;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владеть методами поиска, анализа и использования научной информации; </w:t>
      </w:r>
    </w:p>
    <w:p>
      <w:pPr>
        <w:pStyle w:val="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— публично излагать результаты проектной работы.</w:t>
      </w:r>
    </w:p>
    <w:p>
      <w:pPr>
        <w:pStyle w:val="7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1.</w:t>
      </w:r>
      <w:r>
        <w:rPr>
          <w:rFonts w:ascii="Times New Roman" w:hAnsi="Times New Roman"/>
          <w:sz w:val="28"/>
          <w:szCs w:val="28"/>
        </w:rPr>
        <w:t xml:space="preserve"> Культура исследования и проектирования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современными научными представлениями о нормах проектной и исследовательской деятельности, а также анализ уже реализованных проектов.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1.1.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1.2. Анализирование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 </w:t>
      </w:r>
    </w:p>
    <w:p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2. 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Инициализация проекта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2.1. </w:t>
      </w:r>
      <w:r>
        <w:rPr>
          <w:rFonts w:ascii="Times New Roman" w:hAnsi="Times New Roman"/>
          <w:color w:val="000000"/>
          <w:sz w:val="28"/>
          <w:szCs w:val="28"/>
        </w:rPr>
        <w:t xml:space="preserve">Что такое исследовательская деятельность?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2.2. </w:t>
      </w:r>
      <w:r>
        <w:rPr>
          <w:rFonts w:ascii="Times New Roman" w:hAnsi="Times New Roman"/>
          <w:color w:val="000000"/>
          <w:sz w:val="28"/>
          <w:szCs w:val="28"/>
        </w:rPr>
        <w:t>Исследование и проект: в чем разница?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2.3. Исследование и другие творческие формы образовательной деятельности.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2.4. </w:t>
      </w:r>
      <w:r>
        <w:rPr>
          <w:rFonts w:ascii="Times New Roman" w:hAnsi="Times New Roman"/>
          <w:color w:val="000000"/>
          <w:sz w:val="28"/>
          <w:szCs w:val="28"/>
        </w:rPr>
        <w:t>Структура исследовательской работы и основные этапы её планирования.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2.5. Выбор темы исследования и формулирование названия исследовательской работы.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2.6. </w:t>
      </w:r>
      <w:r>
        <w:rPr>
          <w:rFonts w:ascii="Times New Roman" w:hAnsi="Times New Roman"/>
          <w:color w:val="000000"/>
          <w:sz w:val="28"/>
          <w:szCs w:val="28"/>
        </w:rPr>
        <w:t>Определение научной проблемы: объект и предмет исследования.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2.7. Определение научной проблемы: постановка цели и задач исследования; выдвижение гипотезы.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2.8. Основные методы исследования.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2.9. Виды источников информации и особенности работы с ними.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2.10. Общие требования оформления исследовательской работы.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2.11. Особенности реферативной работы и ее оформления.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2.12. Работа с текстом. Виды переработки чужого текста.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2.13. Цитирование. Правила оформления цитат.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2.14. Алгоритм работы с ресурсами Интернета.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2.15. Графические материалы проекта: виды, технологии, требования к оформлению.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2.16. Правила оформления презентации.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2.17. Навыки монологической речи. Аргументирующая речь.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2.18. Универсальные критерии проверки и оценки учебного проекта.</w:t>
      </w:r>
    </w:p>
    <w:p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3. </w:t>
      </w:r>
      <w:r>
        <w:rPr>
          <w:rFonts w:ascii="Times New Roman" w:hAnsi="Times New Roman"/>
          <w:color w:val="000000"/>
          <w:sz w:val="28"/>
          <w:szCs w:val="28"/>
        </w:rPr>
        <w:t>Практическая подготовка индивидуальных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3.1. </w:t>
      </w:r>
      <w:r>
        <w:rPr>
          <w:rFonts w:ascii="Times New Roman" w:hAnsi="Times New Roman"/>
          <w:color w:val="000000"/>
          <w:sz w:val="28"/>
          <w:szCs w:val="28"/>
        </w:rPr>
        <w:t>Формулирование темы, проблемы исследования; обоснование актуальности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3.2. </w:t>
      </w:r>
      <w:r>
        <w:rPr>
          <w:rFonts w:ascii="Times New Roman" w:hAnsi="Times New Roman"/>
          <w:color w:val="000000"/>
          <w:sz w:val="28"/>
          <w:szCs w:val="28"/>
        </w:rPr>
        <w:t>Составление индивидуального рабочего плана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3.3. </w:t>
      </w:r>
      <w:r>
        <w:rPr>
          <w:rFonts w:ascii="Times New Roman" w:hAnsi="Times New Roman"/>
          <w:color w:val="000000"/>
          <w:sz w:val="28"/>
          <w:szCs w:val="28"/>
        </w:rPr>
        <w:t>Оформление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3.4. </w:t>
      </w:r>
      <w:r>
        <w:rPr>
          <w:rFonts w:ascii="Times New Roman" w:hAnsi="Times New Roman"/>
          <w:color w:val="000000"/>
          <w:sz w:val="28"/>
          <w:szCs w:val="28"/>
        </w:rPr>
        <w:t>Оформление исследовательской работы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3.5. </w:t>
      </w:r>
      <w:r>
        <w:rPr>
          <w:rFonts w:ascii="Times New Roman" w:hAnsi="Times New Roman"/>
          <w:color w:val="000000"/>
          <w:sz w:val="28"/>
          <w:szCs w:val="28"/>
        </w:rPr>
        <w:t>Создание компьютерной презентации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</w:t>
      </w:r>
      <w:r>
        <w:rPr>
          <w:rFonts w:ascii="Times New Roman" w:hAnsi="Times New Roman"/>
          <w:sz w:val="28"/>
          <w:szCs w:val="28"/>
        </w:rPr>
        <w:t xml:space="preserve"> Презентация и защита индивидуального проекта (3ч) </w:t>
      </w:r>
    </w:p>
    <w:p>
      <w:pPr>
        <w:pStyle w:val="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презентация, публичная защита индивидуальных проектов/ исследований старшеклассников, рекомендации к её подготовке и проведению.</w:t>
      </w:r>
    </w:p>
    <w:p>
      <w:pPr>
        <w:pStyle w:val="7"/>
        <w:ind w:firstLine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ind w:firstLine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>
      <w:pPr>
        <w:pStyle w:val="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 (34 часа)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74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1. Культура исследования и проектирования 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проект и почему реализация проекта — это сложно, но интересно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анализировать проекты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2.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Инициализация проекта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исследовательская деятельность? 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и проект: в чем разница?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и другие творческие формы образовательной деятельности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исследовательской работы и основные этапы её планирования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Выбор темы исследования и формулирование названия исследовательской работы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научной проблемы: объект и предмет исследования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научной проблемы: постановка цели и задач исследования; выдвижение гипотезы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методы исследования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источников информации и особенности работы с ними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Общие требования оформления исследовательской работы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реферативной работы и ее оформления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текстом. Виды переработки чужого текста. 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Цитирование. Правила оформления цитат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Алгоритм работы с ресурсами Интернета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Графические материалы проекта: виды, технологии, требования к оформлению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оформления презентации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Навыки монологической речи. Аргументирующая речь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Универсальные критерии проверки и оценки учебного проекта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3.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индивидуальных проектов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Формулирование темы, проблемы исследования; обоснование актуальности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индивидуального рабочего плана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результатов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исследовательской работы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компьютерной презентации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5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6746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4. Презентация и защита индивидуального проекта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>
      <w:pPr>
        <w:pStyle w:val="7"/>
        <w:jc w:val="both"/>
        <w:rPr>
          <w:rFonts w:ascii="Times New Roman" w:hAnsi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Официальный информационный сайт строительства Крымского моста (</w:t>
      </w:r>
      <w:r>
        <w:fldChar w:fldCharType="begin"/>
      </w:r>
      <w:r>
        <w:instrText xml:space="preserve"> HYPERLINK "http://www.most.life/"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http://www.most.life/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«Старость в радость» (</w:t>
      </w:r>
      <w:r>
        <w:fldChar w:fldCharType="begin"/>
      </w:r>
      <w:r>
        <w:instrText xml:space="preserve"> HYPERLINK "https://starikam.org/"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https://starikam.org/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Просветительский проект «Арзамас» (https://arzamas.academy).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Проект «Экологическая тропа» (</w:t>
      </w:r>
      <w:r>
        <w:fldChar w:fldCharType="begin"/>
      </w:r>
      <w:r>
        <w:instrText xml:space="preserve"> HYPERLINK "https://komiinform.ru/news/164370/"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https://komiinform.ru/news/164370/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5.Сайт организации «Добровольцы России» (https://добровольцыроссии.рф/ organizations/55619/info).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Волонтёрский педагогический отряд (http://www.ruy.ru/organization/ activities/).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Проект Smart-теплицы (</w:t>
      </w:r>
      <w:r>
        <w:fldChar w:fldCharType="begin"/>
      </w:r>
      <w:r>
        <w:instrText xml:space="preserve"> HYPERLINK "http://mgk.olimpiada.ru/work/12513/request/20370"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http://mgk.olimpiada.ru/work/12513/request/20370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IT-проекты со школьниками (</w:t>
      </w:r>
      <w:r>
        <w:fldChar w:fldCharType="begin"/>
      </w:r>
      <w:r>
        <w:instrText xml:space="preserve"> HYPERLINK "https://habr.com/post/329758"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https://habr.com/post/329758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9. Объект и предмет исследования — в чём разница? </w:t>
      </w:r>
      <w:r>
        <w:rPr>
          <w:rFonts w:ascii="Times New Roman" w:hAnsi="Times New Roman"/>
          <w:sz w:val="28"/>
          <w:szCs w:val="28"/>
          <w:lang w:val="en-US"/>
        </w:rPr>
        <w:t xml:space="preserve">(https:// nauchniestati.ru/blog/ obekt-i-predmet-issledovaniya/).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Всероссийский конкурс научно-технологических проектов (https:// konkurs.sochisirius.ru/custom/about).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Школьный кубок Преактум (</w:t>
      </w:r>
      <w:r>
        <w:fldChar w:fldCharType="begin"/>
      </w:r>
      <w:r>
        <w:instrText xml:space="preserve"> HYPERLINK "http://preactum.ru/"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http://preactum.ru/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Большой энциклопедический словарь (</w:t>
      </w:r>
      <w:r>
        <w:fldChar w:fldCharType="begin"/>
      </w:r>
      <w:r>
        <w:instrText xml:space="preserve"> HYPERLINK "http://slovari.299.ru"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http://slovari.299.ru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Понятие «цель» (</w:t>
      </w:r>
      <w:r>
        <w:fldChar w:fldCharType="begin"/>
      </w:r>
      <w:r>
        <w:instrText xml:space="preserve"> HYPERLINK "http://vslovare.info/slovo/filosofskiij-slovar/tzel/47217"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http://vslovare.info/slovo/filosofskiij-slovar/tzel/47217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Лучшие стартапы и инвестиционные проекты в Интернете (https:// startupnetwork.ru/startups/).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Переработка пластиковых бутылок (http://promtu.ru/mini-zavodyi/ mini-pererabotka-plastika).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Робот, который ищет мусор (</w:t>
      </w:r>
      <w:r>
        <w:fldChar w:fldCharType="begin"/>
      </w:r>
      <w:r>
        <w:instrText xml:space="preserve"> HYPERLINK "https://deti.mail.ru/news/12letnyayadevoch-ka-postroila-robota-kotoryy/"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https://deti.mail.ru/news/12letnyayadevoch-ka-postroila-robota-kotoryy/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Кто такой эксперт и каким он должен быть (http://www.liveexpert. ru/forum/view/1257990) </w:t>
      </w:r>
    </w:p>
    <w:p>
      <w:pPr>
        <w:pStyle w:val="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18.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спорить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Сократа</w:t>
      </w:r>
      <w:r>
        <w:rPr>
          <w:rFonts w:ascii="Times New Roman" w:hAnsi="Times New Roman"/>
          <w:sz w:val="28"/>
          <w:szCs w:val="28"/>
          <w:lang w:val="en-US"/>
        </w:rPr>
        <w:t xml:space="preserve"> (https://mensby.com/career/ psychology/9209-how-to-argue-with-socrates-method).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Проведение опросов (</w:t>
      </w:r>
      <w:r>
        <w:fldChar w:fldCharType="begin"/>
      </w:r>
      <w:r>
        <w:instrText xml:space="preserve"> HYPERLINK "http://anketolog.ru"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http://anketolog.ru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Федеральная служба государственной статистики (</w:t>
      </w:r>
      <w:r>
        <w:fldChar w:fldCharType="begin"/>
      </w:r>
      <w:r>
        <w:instrText xml:space="preserve"> HYPERLINK "http://www.gks.ru/"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http://www.gks.ru/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Как создать анкету и провести опрос (</w:t>
      </w:r>
      <w:r>
        <w:fldChar w:fldCharType="begin"/>
      </w:r>
      <w:r>
        <w:instrText xml:space="preserve"> HYPERLINK "http://www.testograf.ru"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www.testograf.ru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Программы для монтажа (</w:t>
      </w:r>
      <w:r>
        <w:fldChar w:fldCharType="begin"/>
      </w:r>
      <w:r>
        <w:instrText xml:space="preserve"> HYPERLINK "https://lifehacker.ru/programmy-dlya-montazha-video"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https://lifehacker.ru/programmy-dlya-montazha-video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Федеральный закон от 11.08.1995 г. № 135-ФЗ (ред. от 01.05.2018) «О благотворительной деятельности и добровольчестве (волонтёрстве)» (</w:t>
      </w:r>
      <w:r>
        <w:fldChar w:fldCharType="begin"/>
      </w:r>
      <w:r>
        <w:instrText xml:space="preserve"> HYPERLINK "http://legalacts.ru/doc/federalnyi-zakon-ot-11081995-n-135-fz-o/"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http://legalacts.ru/doc/federalnyi-zakon-ot-11081995-n-135-fz-o/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97092"/>
    <w:multiLevelType w:val="multilevel"/>
    <w:tmpl w:val="60F9709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1595930"/>
    <w:multiLevelType w:val="multilevel"/>
    <w:tmpl w:val="6159593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2"/>
      <w:numFmt w:val="decimal"/>
      <w:isLgl/>
      <w:lvlText w:val="%1.%2"/>
      <w:lvlJc w:val="left"/>
      <w:pPr>
        <w:ind w:left="720" w:hanging="360"/>
      </w:pPr>
      <w:rPr>
        <w:u w:val="single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abstractNum w:abstractNumId="2">
    <w:nsid w:val="75EC3F72"/>
    <w:multiLevelType w:val="multilevel"/>
    <w:tmpl w:val="75EC3F7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18"/>
    <w:rsid w:val="00007818"/>
    <w:rsid w:val="000516D7"/>
    <w:rsid w:val="000A3B87"/>
    <w:rsid w:val="000F0675"/>
    <w:rsid w:val="000F5325"/>
    <w:rsid w:val="001C0C49"/>
    <w:rsid w:val="00432368"/>
    <w:rsid w:val="00504090"/>
    <w:rsid w:val="005F4ED3"/>
    <w:rsid w:val="00741F4A"/>
    <w:rsid w:val="00825755"/>
    <w:rsid w:val="00976F3A"/>
    <w:rsid w:val="00A769F1"/>
    <w:rsid w:val="00AA250D"/>
    <w:rsid w:val="00AE6B2E"/>
    <w:rsid w:val="00BA27B6"/>
    <w:rsid w:val="00BB0CA7"/>
    <w:rsid w:val="00C22BE1"/>
    <w:rsid w:val="00D97AAD"/>
    <w:rsid w:val="00DD1B50"/>
    <w:rsid w:val="00E27A0D"/>
    <w:rsid w:val="00E9485C"/>
    <w:rsid w:val="00FB10E6"/>
    <w:rsid w:val="00FD0856"/>
    <w:rsid w:val="20342C06"/>
    <w:rsid w:val="7E4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footnote text"/>
    <w:basedOn w:val="1"/>
    <w:link w:val="11"/>
    <w:semiHidden/>
    <w:unhideWhenUsed/>
    <w:qFormat/>
    <w:uiPriority w:val="99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0">
    <w:name w:val="Неразрешенное упоминание1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Текст сноски Знак"/>
    <w:basedOn w:val="2"/>
    <w:link w:val="6"/>
    <w:semiHidden/>
    <w:uiPriority w:val="99"/>
    <w:rPr>
      <w:rFonts w:ascii="Calibri" w:hAnsi="Calibri" w:eastAsia="Calibri" w:cs="Times New Roman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3446</Words>
  <Characters>19647</Characters>
  <Lines>163</Lines>
  <Paragraphs>46</Paragraphs>
  <TotalTime>1</TotalTime>
  <ScaleCrop>false</ScaleCrop>
  <LinksUpToDate>false</LinksUpToDate>
  <CharactersWithSpaces>23047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2023-09-05T11:21:00Z</dcterms:created>
  <dc:creator>ОЛЕСЯ</dc:creator>
  <cp:lastModifiedBy>user</cp:lastModifiedBy>
  <dcterms:modified xsi:type="dcterms:W3CDTF">2023-10-02T12:26:52Z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DD0C994D00BF4A8B9E8997B36E9489DA_13</vt:lpwstr>
  </property>
</Properties>
</file>