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ВЫПИСКА из 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hint="default" w:ascii="Times New Roman" w:hAnsi="Times New Roman" w:cs="Times New Roman"/>
          <w:sz w:val="40"/>
          <w:szCs w:val="40"/>
        </w:rPr>
        <w:t xml:space="preserve">  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>Основной образовательной п</w:t>
      </w:r>
      <w:r>
        <w:rPr>
          <w:rFonts w:hint="default" w:ascii="Times New Roman" w:hAnsi="Times New Roman" w:cs="Times New Roman"/>
          <w:sz w:val="40"/>
          <w:szCs w:val="40"/>
        </w:rPr>
        <w:t>рограм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>мы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hint="default" w:ascii="Times New Roman" w:hAnsi="Times New Roman" w:cs="Times New Roman"/>
          <w:sz w:val="40"/>
          <w:szCs w:val="40"/>
        </w:rPr>
        <w:t xml:space="preserve">   основного общего образования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>МБОУ «Полазненская СОШ №1»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Формы и сроки промежуточной аттестации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2023-2024 учебный год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Фиксация результатов промежуточной аттестации осуществляется по пятибалльной системе. Периодичность проведения промежуточной аттестации: 1 раз в конце учебного года. </w:t>
      </w: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Личностные результаты учащихся в полном соответствии с требованиями ФГОС не подлежат итоговой оценке. </w:t>
      </w:r>
    </w:p>
    <w:p>
      <w:pPr>
        <w:pStyle w:val="4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Оценка метапредметныхрезультатов обучающихся предполагает оценку универсальных учебных действий обучающихся (регулятивных, коммуникативных, познавательных)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</w:t>
      </w:r>
      <w:r>
        <w:rPr>
          <w:sz w:val="28"/>
          <w:szCs w:val="28"/>
        </w:rPr>
        <w:t>сформированности основных учебных умений и навыков.</w:t>
      </w: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</w:t>
      </w:r>
      <w:r>
        <w:rPr>
          <w:rFonts w:hint="default"/>
          <w:sz w:val="28"/>
          <w:szCs w:val="28"/>
          <w:lang w:val="ru-RU"/>
        </w:rPr>
        <w:t xml:space="preserve"> промежуточной аттестации в основной школе:</w:t>
      </w: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 01.04.23 по 17.05.2024</w:t>
      </w: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</w:t>
      </w:r>
      <w:r>
        <w:rPr>
          <w:rFonts w:ascii="Times New Roman" w:hAnsi="Times New Roman" w:cs="Times New Roman"/>
          <w:b/>
          <w:sz w:val="28"/>
          <w:szCs w:val="28"/>
        </w:rPr>
        <w:t>мы промежуточной аттестации в основной школе</w:t>
      </w:r>
    </w:p>
    <w:tbl>
      <w:tblPr>
        <w:tblStyle w:val="3"/>
        <w:tblW w:w="10348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1701"/>
        <w:gridCol w:w="1559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</w:tcPr>
          <w:p>
            <w:pPr>
              <w:shd w:val="clear" w:color="auto" w:fill="FFFFFF"/>
              <w:spacing w:after="120" w:line="360" w:lineRule="auto"/>
              <w:contextualSpacing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6 классы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7 классы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8 классы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9 классы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701" w:type="dxa"/>
          </w:tcPr>
          <w:p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59" w:type="dxa"/>
          </w:tcPr>
          <w:p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</w:tcPr>
          <w:p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Комплексная проверочная работа 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Комплексная проверочная работа 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Комплексная проверочная работа 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Комплексная проверочная работа 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Комплексная проверочная работа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701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</w:t>
            </w:r>
          </w:p>
        </w:tc>
        <w:tc>
          <w:tcPr>
            <w:tcW w:w="1560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----</w:t>
            </w:r>
          </w:p>
        </w:tc>
        <w:tc>
          <w:tcPr>
            <w:tcW w:w="1842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----</w:t>
            </w:r>
          </w:p>
        </w:tc>
        <w:tc>
          <w:tcPr>
            <w:tcW w:w="1701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-----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----</w:t>
            </w:r>
          </w:p>
        </w:tc>
        <w:tc>
          <w:tcPr>
            <w:tcW w:w="1701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  <w:t>----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  <w:vAlign w:val="top"/>
          </w:tcPr>
          <w:p>
            <w:pPr>
              <w:shd w:val="clear" w:color="auto" w:fill="FFFFFF"/>
              <w:spacing w:after="12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  <w:vAlign w:val="top"/>
          </w:tcPr>
          <w:p>
            <w:pPr>
              <w:shd w:val="clear" w:color="auto" w:fill="FFFFFF"/>
              <w:spacing w:after="12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top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тест</w:t>
            </w:r>
          </w:p>
        </w:tc>
        <w:tc>
          <w:tcPr>
            <w:tcW w:w="1701" w:type="dxa"/>
            <w:vAlign w:val="top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тест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тест</w:t>
            </w:r>
          </w:p>
        </w:tc>
        <w:tc>
          <w:tcPr>
            <w:tcW w:w="1560" w:type="dxa"/>
            <w:vAlign w:val="top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тест</w:t>
            </w:r>
          </w:p>
        </w:tc>
        <w:tc>
          <w:tcPr>
            <w:tcW w:w="1842" w:type="dxa"/>
            <w:vAlign w:val="top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top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top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top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ОДНК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----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--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--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прект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проект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--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Физическая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Комплексная работа (теоретический тест и зачет)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проект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  <w:t>проект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проект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hd w:val="clear" w:color="auto" w:fill="FFFFFF"/>
              <w:spacing w:after="120" w:line="211" w:lineRule="exact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---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842" w:type="dxa"/>
          </w:tcPr>
          <w:p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Годовая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4F74"/>
    <w:rsid w:val="196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table" w:styleId="5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2023-10-03T04:18:25Z</dcterms:created>
  <dc:creator>user</dc:creator>
  <cp:lastModifiedBy>user</cp:lastModifiedBy>
  <dcterms:modified xsi:type="dcterms:W3CDTF">2023-10-03T04:32:25Z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918421AFCDE14B5EB611AD8056017F64_12</vt:lpwstr>
  </property>
</Properties>
</file>